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65" w:rsidRPr="00334F44" w:rsidRDefault="00502B65" w:rsidP="00F46D9E">
      <w:pPr>
        <w:spacing w:after="0"/>
        <w:jc w:val="right"/>
        <w:rPr>
          <w:b/>
          <w:bCs/>
          <w:sz w:val="24"/>
          <w:szCs w:val="24"/>
        </w:rPr>
      </w:pPr>
      <w:r w:rsidRPr="00334F44"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23900" cy="723900"/>
            <wp:effectExtent l="0" t="0" r="0" b="0"/>
            <wp:docPr id="1" name="Рисунок 1" descr="Описание: C:\Users\-\AppData\Local\Temp\Rar$DI00.465\blago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Users\-\AppData\Local\Temp\Rar$DI00.465\blago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B65" w:rsidRPr="00334F44" w:rsidRDefault="00502B65" w:rsidP="00F46D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F44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об </w:t>
      </w:r>
      <w:r w:rsidR="004D5BB3" w:rsidRPr="00334F44">
        <w:rPr>
          <w:rFonts w:ascii="Times New Roman" w:eastAsia="Times New Roman" w:hAnsi="Times New Roman" w:cs="Times New Roman"/>
          <w:b/>
          <w:sz w:val="24"/>
          <w:szCs w:val="24"/>
        </w:rPr>
        <w:t>экспертизе и оценке заявок</w:t>
      </w:r>
    </w:p>
    <w:p w:rsidR="00502B65" w:rsidRPr="00334F44" w:rsidRDefault="00502B65" w:rsidP="00F46D9E">
      <w:pPr>
        <w:pStyle w:val="HTML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34F44">
        <w:rPr>
          <w:rFonts w:ascii="Times New Roman" w:hAnsi="Times New Roman"/>
          <w:b/>
          <w:color w:val="auto"/>
          <w:sz w:val="24"/>
          <w:szCs w:val="24"/>
        </w:rPr>
        <w:t>«Лидеры корпоративной благотворительности – 201</w:t>
      </w:r>
      <w:r w:rsidR="001E15E7">
        <w:rPr>
          <w:rFonts w:ascii="Times New Roman" w:hAnsi="Times New Roman"/>
          <w:b/>
          <w:color w:val="auto"/>
          <w:sz w:val="24"/>
          <w:szCs w:val="24"/>
        </w:rPr>
        <w:t>6</w:t>
      </w:r>
      <w:r w:rsidRPr="00334F44">
        <w:rPr>
          <w:rFonts w:ascii="Times New Roman" w:hAnsi="Times New Roman"/>
          <w:b/>
          <w:smallCaps/>
          <w:sz w:val="24"/>
          <w:szCs w:val="24"/>
        </w:rPr>
        <w:t>»</w:t>
      </w:r>
    </w:p>
    <w:p w:rsidR="004C55D5" w:rsidRPr="00334F44" w:rsidRDefault="004C55D5" w:rsidP="004C55D5">
      <w:pPr>
        <w:spacing w:after="0" w:line="307" w:lineRule="atLeast"/>
        <w:rPr>
          <w:rFonts w:ascii="inherit" w:eastAsia="Times New Roman" w:hAnsi="inherit" w:cs="Times New Roman"/>
          <w:b/>
          <w:bCs/>
          <w:color w:val="666666"/>
          <w:sz w:val="24"/>
          <w:szCs w:val="24"/>
          <w:lang w:eastAsia="ru-RU"/>
        </w:rPr>
      </w:pPr>
    </w:p>
    <w:p w:rsidR="007772CB" w:rsidRPr="00F46D9E" w:rsidRDefault="007772CB" w:rsidP="00F46D9E">
      <w:pPr>
        <w:spacing w:after="120" w:line="307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3"/>
          <w:szCs w:val="23"/>
          <w:lang w:eastAsia="ru-RU"/>
        </w:rPr>
      </w:pPr>
    </w:p>
    <w:p w:rsidR="00485106" w:rsidRPr="00F46D9E" w:rsidRDefault="00485106" w:rsidP="00F46D9E">
      <w:pPr>
        <w:pStyle w:val="a7"/>
        <w:numPr>
          <w:ilvl w:val="0"/>
          <w:numId w:val="14"/>
        </w:numPr>
        <w:spacing w:after="120" w:line="307" w:lineRule="atLeast"/>
        <w:ind w:left="426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Общие положения</w:t>
      </w:r>
      <w:r w:rsidR="00363DA4" w:rsidRPr="00AD03B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:</w:t>
      </w:r>
      <w:r w:rsidR="00276BB2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</w:t>
      </w:r>
    </w:p>
    <w:p w:rsidR="00502B65" w:rsidRPr="00F46D9E" w:rsidRDefault="00502B65" w:rsidP="00F46D9E">
      <w:pPr>
        <w:pStyle w:val="a6"/>
        <w:spacing w:after="120"/>
        <w:jc w:val="both"/>
        <w:rPr>
          <w:rFonts w:ascii="Times New Roman" w:hAnsi="Times New Roman" w:cs="Times New Roman"/>
          <w:color w:val="262626" w:themeColor="text1" w:themeTint="D9"/>
          <w:sz w:val="23"/>
          <w:szCs w:val="23"/>
        </w:rPr>
      </w:pPr>
      <w:r w:rsidRPr="00F46D9E">
        <w:rPr>
          <w:rFonts w:ascii="Times New Roman" w:hAnsi="Times New Roman" w:cs="Times New Roman"/>
          <w:color w:val="262626" w:themeColor="text1" w:themeTint="D9"/>
          <w:sz w:val="23"/>
          <w:szCs w:val="23"/>
        </w:rPr>
        <w:t xml:space="preserve">Для организации и проведения </w:t>
      </w:r>
      <w:r w:rsidR="00EE4256" w:rsidRPr="00F46D9E">
        <w:rPr>
          <w:rFonts w:ascii="Times New Roman" w:hAnsi="Times New Roman" w:cs="Times New Roman"/>
          <w:color w:val="262626" w:themeColor="text1" w:themeTint="D9"/>
          <w:sz w:val="23"/>
          <w:szCs w:val="23"/>
        </w:rPr>
        <w:t>экспертизы</w:t>
      </w:r>
      <w:r w:rsidRPr="00F46D9E">
        <w:rPr>
          <w:rFonts w:ascii="Times New Roman" w:hAnsi="Times New Roman" w:cs="Times New Roman"/>
          <w:color w:val="262626" w:themeColor="text1" w:themeTint="D9"/>
          <w:sz w:val="23"/>
          <w:szCs w:val="23"/>
        </w:rPr>
        <w:t xml:space="preserve"> создается Оргкомитет и Экспертное жюри.</w:t>
      </w:r>
    </w:p>
    <w:p w:rsidR="00485106" w:rsidRPr="00F46D9E" w:rsidRDefault="00485106" w:rsidP="00F46D9E">
      <w:pPr>
        <w:pStyle w:val="a6"/>
        <w:spacing w:after="120"/>
        <w:ind w:left="567" w:hanging="284"/>
        <w:jc w:val="both"/>
        <w:rPr>
          <w:rFonts w:ascii="Times New Roman" w:hAnsi="Times New Roman" w:cs="Times New Roman"/>
          <w:color w:val="262626" w:themeColor="text1" w:themeTint="D9"/>
          <w:sz w:val="23"/>
          <w:szCs w:val="23"/>
        </w:rPr>
      </w:pPr>
      <w:r w:rsidRPr="00F46D9E">
        <w:rPr>
          <w:rFonts w:ascii="Times New Roman" w:hAnsi="Times New Roman" w:cs="Times New Roman"/>
          <w:color w:val="262626" w:themeColor="text1" w:themeTint="D9"/>
          <w:sz w:val="23"/>
          <w:szCs w:val="23"/>
        </w:rPr>
        <w:t>1</w:t>
      </w:r>
      <w:r w:rsidR="007772CB" w:rsidRPr="00F46D9E">
        <w:rPr>
          <w:rFonts w:ascii="Times New Roman" w:hAnsi="Times New Roman" w:cs="Times New Roman"/>
          <w:color w:val="262626" w:themeColor="text1" w:themeTint="D9"/>
          <w:sz w:val="23"/>
          <w:szCs w:val="23"/>
        </w:rPr>
        <w:t>.1</w:t>
      </w:r>
      <w:r w:rsidRPr="00F46D9E">
        <w:rPr>
          <w:rFonts w:ascii="Times New Roman" w:hAnsi="Times New Roman" w:cs="Times New Roman"/>
          <w:color w:val="262626" w:themeColor="text1" w:themeTint="D9"/>
          <w:sz w:val="23"/>
          <w:szCs w:val="23"/>
        </w:rPr>
        <w:t xml:space="preserve">. Оргкомитет формируется из числа представителей организаторов </w:t>
      </w:r>
      <w:r w:rsidR="00E437E9">
        <w:rPr>
          <w:rFonts w:ascii="Times New Roman" w:hAnsi="Times New Roman" w:cs="Times New Roman"/>
          <w:color w:val="262626" w:themeColor="text1" w:themeTint="D9"/>
          <w:sz w:val="23"/>
          <w:szCs w:val="23"/>
        </w:rPr>
        <w:t>п</w:t>
      </w:r>
      <w:r w:rsidRPr="00F46D9E">
        <w:rPr>
          <w:rFonts w:ascii="Times New Roman" w:hAnsi="Times New Roman" w:cs="Times New Roman"/>
          <w:color w:val="262626" w:themeColor="text1" w:themeTint="D9"/>
          <w:sz w:val="23"/>
          <w:szCs w:val="23"/>
        </w:rPr>
        <w:t>роекта</w:t>
      </w:r>
      <w:r w:rsidR="00E437E9">
        <w:rPr>
          <w:rFonts w:ascii="Times New Roman" w:hAnsi="Times New Roman" w:cs="Times New Roman"/>
          <w:color w:val="262626" w:themeColor="text1" w:themeTint="D9"/>
          <w:sz w:val="23"/>
          <w:szCs w:val="23"/>
        </w:rPr>
        <w:t xml:space="preserve"> (далее – Проект)</w:t>
      </w:r>
      <w:r w:rsidR="00BC1356">
        <w:rPr>
          <w:rFonts w:ascii="Times New Roman" w:hAnsi="Times New Roman" w:cs="Times New Roman"/>
          <w:color w:val="262626" w:themeColor="text1" w:themeTint="D9"/>
          <w:sz w:val="23"/>
          <w:szCs w:val="23"/>
        </w:rPr>
        <w:t>.</w:t>
      </w:r>
      <w:r w:rsidR="00E437E9">
        <w:rPr>
          <w:rFonts w:ascii="Times New Roman" w:hAnsi="Times New Roman" w:cs="Times New Roman"/>
          <w:color w:val="262626" w:themeColor="text1" w:themeTint="D9"/>
          <w:sz w:val="23"/>
          <w:szCs w:val="23"/>
        </w:rPr>
        <w:t xml:space="preserve"> </w:t>
      </w:r>
      <w:r w:rsidRPr="00F46D9E">
        <w:rPr>
          <w:rFonts w:ascii="Times New Roman" w:hAnsi="Times New Roman" w:cs="Times New Roman"/>
          <w:color w:val="262626" w:themeColor="text1" w:themeTint="D9"/>
          <w:sz w:val="23"/>
          <w:szCs w:val="23"/>
        </w:rPr>
        <w:t xml:space="preserve"> В рамках работы по </w:t>
      </w:r>
      <w:r w:rsidRPr="00AD03B7">
        <w:rPr>
          <w:rFonts w:ascii="Times New Roman" w:hAnsi="Times New Roman" w:cs="Times New Roman"/>
          <w:color w:val="262626" w:themeColor="text1" w:themeTint="D9"/>
          <w:sz w:val="23"/>
          <w:szCs w:val="23"/>
        </w:rPr>
        <w:t xml:space="preserve">оценке </w:t>
      </w:r>
      <w:r w:rsidR="00363DA4" w:rsidRPr="00AD03B7">
        <w:rPr>
          <w:rFonts w:ascii="Times New Roman" w:hAnsi="Times New Roman" w:cs="Times New Roman"/>
          <w:color w:val="262626" w:themeColor="text1" w:themeTint="D9"/>
          <w:sz w:val="23"/>
          <w:szCs w:val="23"/>
        </w:rPr>
        <w:t>о</w:t>
      </w:r>
      <w:r w:rsidRPr="00AD03B7">
        <w:rPr>
          <w:rFonts w:ascii="Times New Roman" w:hAnsi="Times New Roman" w:cs="Times New Roman"/>
          <w:color w:val="262626" w:themeColor="text1" w:themeTint="D9"/>
          <w:sz w:val="23"/>
          <w:szCs w:val="23"/>
        </w:rPr>
        <w:t>ргкомитет</w:t>
      </w:r>
      <w:r w:rsidRPr="00F46D9E">
        <w:rPr>
          <w:rFonts w:ascii="Times New Roman" w:hAnsi="Times New Roman" w:cs="Times New Roman"/>
          <w:color w:val="262626" w:themeColor="text1" w:themeTint="D9"/>
          <w:sz w:val="23"/>
          <w:szCs w:val="23"/>
        </w:rPr>
        <w:t xml:space="preserve"> осуществляет следующие функции:</w:t>
      </w:r>
    </w:p>
    <w:p w:rsidR="00485106" w:rsidRPr="00F46D9E" w:rsidRDefault="00485106" w:rsidP="00F46D9E">
      <w:pPr>
        <w:pStyle w:val="a7"/>
        <w:numPr>
          <w:ilvl w:val="1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</w:t>
      </w:r>
      <w:r w:rsidR="00A15E75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р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азрабатывает пакет документов; </w:t>
      </w:r>
    </w:p>
    <w:p w:rsidR="00485106" w:rsidRPr="00F46D9E" w:rsidRDefault="00485106" w:rsidP="00F46D9E">
      <w:pPr>
        <w:pStyle w:val="a7"/>
        <w:numPr>
          <w:ilvl w:val="1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</w:t>
      </w:r>
      <w:r w:rsidR="00A15E75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о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рганизует проведение мониторинга/аудита организаций-участников;</w:t>
      </w:r>
    </w:p>
    <w:p w:rsidR="00485106" w:rsidRPr="00F46D9E" w:rsidRDefault="00485106" w:rsidP="00F46D9E">
      <w:pPr>
        <w:pStyle w:val="a7"/>
        <w:numPr>
          <w:ilvl w:val="1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</w:t>
      </w:r>
      <w:r w:rsidR="00A15E75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п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роводит оценку раздела «</w:t>
      </w:r>
      <w:r w:rsidR="00A15E75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Ф</w:t>
      </w:r>
      <w:r w:rsidR="00A15E75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инансовые 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показатели» согласно разработанной методологии;</w:t>
      </w:r>
    </w:p>
    <w:p w:rsidR="00485106" w:rsidRPr="00F46D9E" w:rsidRDefault="00485106" w:rsidP="00F46D9E">
      <w:pPr>
        <w:pStyle w:val="a7"/>
        <w:numPr>
          <w:ilvl w:val="1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</w:t>
      </w:r>
      <w:r w:rsidR="00A15E75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п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риглашает к участию в жюри экспертов;</w:t>
      </w:r>
    </w:p>
    <w:p w:rsidR="00485106" w:rsidRPr="00F46D9E" w:rsidRDefault="00485106" w:rsidP="00F46D9E">
      <w:pPr>
        <w:pStyle w:val="a7"/>
        <w:numPr>
          <w:ilvl w:val="1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</w:t>
      </w:r>
      <w:r w:rsidR="00A15E75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о</w:t>
      </w:r>
      <w:r w:rsidR="00A15E75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рганизует 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и обеспечивает работу экспертного жюри;</w:t>
      </w:r>
    </w:p>
    <w:p w:rsidR="00485106" w:rsidRPr="00AD03B7" w:rsidRDefault="00485106" w:rsidP="00F46D9E">
      <w:pPr>
        <w:pStyle w:val="a7"/>
        <w:numPr>
          <w:ilvl w:val="1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</w:t>
      </w:r>
      <w:r w:rsidR="00A15E75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о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бобщает итоговые </w:t>
      </w:r>
      <w:r w:rsidRPr="00AD03B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документы </w:t>
      </w:r>
      <w:r w:rsidR="00363DA4" w:rsidRPr="00AD03B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п</w:t>
      </w:r>
      <w:r w:rsidRPr="00AD03B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роекта; </w:t>
      </w:r>
    </w:p>
    <w:p w:rsidR="00485106" w:rsidRPr="00F46D9E" w:rsidRDefault="00485106" w:rsidP="00F46D9E">
      <w:pPr>
        <w:pStyle w:val="a7"/>
        <w:numPr>
          <w:ilvl w:val="1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AD03B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</w:t>
      </w:r>
      <w:r w:rsidR="00A15E75" w:rsidRPr="00AD03B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о</w:t>
      </w:r>
      <w:r w:rsidRPr="00AD03B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рганизует публикацию результатов </w:t>
      </w:r>
      <w:r w:rsidR="00363DA4" w:rsidRPr="00AD03B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п</w:t>
      </w:r>
      <w:r w:rsidRPr="00AD03B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роекта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. </w:t>
      </w:r>
    </w:p>
    <w:p w:rsidR="00485106" w:rsidRPr="00F46D9E" w:rsidRDefault="00485106" w:rsidP="00F46D9E">
      <w:pPr>
        <w:pStyle w:val="a7"/>
        <w:spacing w:after="120" w:line="240" w:lineRule="auto"/>
        <w:ind w:left="792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</w:p>
    <w:p w:rsidR="00485106" w:rsidRPr="00F46D9E" w:rsidRDefault="007772CB" w:rsidP="00F46D9E">
      <w:pPr>
        <w:pStyle w:val="a7"/>
        <w:numPr>
          <w:ilvl w:val="1"/>
          <w:numId w:val="11"/>
        </w:numPr>
        <w:spacing w:after="120" w:line="307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</w:t>
      </w:r>
      <w:r w:rsidR="00485106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Экспертное жюри (далее</w:t>
      </w:r>
      <w:r w:rsidR="00A15E75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– </w:t>
      </w:r>
      <w:r w:rsidR="00485106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Жюри) является оценочным органом Проекта.</w:t>
      </w:r>
      <w:r w:rsidR="00485106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br/>
        <w:t xml:space="preserve">Жюри формируется Оргкомитетом Проекта из числа активно работающих независимых экспертов из различных </w:t>
      </w:r>
      <w:r w:rsidR="00485106" w:rsidRPr="00AD03B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сфер деятельности, имеющих отношение к благотворительной </w:t>
      </w:r>
      <w:r w:rsidR="00FC4D67" w:rsidRPr="00AD03B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работе, движению и т. д.</w:t>
      </w:r>
      <w:r w:rsidR="00485106" w:rsidRPr="00AD03B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,</w:t>
      </w:r>
      <w:r w:rsidR="00485106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и является временно образуемым органом для проведения оценки заявок проекта текущего года. </w:t>
      </w:r>
    </w:p>
    <w:p w:rsidR="00485106" w:rsidRPr="00F46D9E" w:rsidRDefault="00485106" w:rsidP="00F46D9E">
      <w:pPr>
        <w:pStyle w:val="a7"/>
        <w:spacing w:after="120" w:line="307" w:lineRule="atLeast"/>
        <w:ind w:left="426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</w:p>
    <w:p w:rsidR="007772CB" w:rsidRPr="00F46D9E" w:rsidRDefault="007772CB" w:rsidP="00F46D9E">
      <w:pPr>
        <w:pStyle w:val="a7"/>
        <w:numPr>
          <w:ilvl w:val="1"/>
          <w:numId w:val="11"/>
        </w:numPr>
        <w:spacing w:after="120" w:line="307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</w:t>
      </w:r>
      <w:r w:rsidR="00485106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Численный состав Жюри определяется Оргкомитетом, при этом </w:t>
      </w:r>
      <w:r w:rsidR="00FC4D67" w:rsidRPr="00FC4D6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в</w:t>
      </w:r>
      <w:r w:rsidR="00BC1356" w:rsidRPr="00FC4D6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Жюри</w:t>
      </w:r>
      <w:r w:rsidR="00BC1356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</w:t>
      </w:r>
      <w:r w:rsidR="005859C5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не может быть менее 12 человек</w:t>
      </w:r>
      <w:r w:rsidR="00485106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. Список экспертов публикуется на сайтах газеты «Ведомости» и </w:t>
      </w:r>
      <w:r w:rsidR="00E437E9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«</w:t>
      </w:r>
      <w:r w:rsidR="00485106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Форума </w:t>
      </w:r>
      <w:r w:rsidR="00E437E9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д</w:t>
      </w:r>
      <w:r w:rsidR="00485106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оноров</w:t>
      </w:r>
      <w:r w:rsidR="00E437E9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»</w:t>
      </w:r>
      <w:r w:rsidR="00485106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.</w:t>
      </w:r>
    </w:p>
    <w:p w:rsidR="007772CB" w:rsidRPr="00F46D9E" w:rsidRDefault="007772CB" w:rsidP="00F46D9E">
      <w:pPr>
        <w:pStyle w:val="a7"/>
        <w:spacing w:after="120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</w:p>
    <w:p w:rsidR="00485106" w:rsidRPr="00F46D9E" w:rsidRDefault="00485106" w:rsidP="00F46D9E">
      <w:pPr>
        <w:pStyle w:val="a7"/>
        <w:numPr>
          <w:ilvl w:val="0"/>
          <w:numId w:val="15"/>
        </w:numPr>
        <w:spacing w:after="120" w:line="307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Задачи </w:t>
      </w:r>
      <w:r w:rsidR="00A15E75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Э</w:t>
      </w:r>
      <w:r w:rsidR="00A15E75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кспертного 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жюри</w:t>
      </w:r>
      <w:r w:rsidR="00363DA4" w:rsidRPr="00AD03B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: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</w:t>
      </w:r>
    </w:p>
    <w:p w:rsidR="005859C5" w:rsidRPr="00AD03B7" w:rsidRDefault="007772CB" w:rsidP="00AD03B7">
      <w:pPr>
        <w:pStyle w:val="Iauiue"/>
        <w:numPr>
          <w:ilvl w:val="1"/>
          <w:numId w:val="15"/>
        </w:numPr>
        <w:spacing w:before="240" w:after="120"/>
        <w:jc w:val="both"/>
        <w:rPr>
          <w:color w:val="262626" w:themeColor="text1" w:themeTint="D9"/>
          <w:sz w:val="23"/>
          <w:szCs w:val="23"/>
        </w:rPr>
      </w:pPr>
      <w:r w:rsidRPr="00F46D9E">
        <w:rPr>
          <w:color w:val="262626" w:themeColor="text1" w:themeTint="D9"/>
          <w:sz w:val="23"/>
          <w:szCs w:val="23"/>
        </w:rPr>
        <w:t xml:space="preserve"> </w:t>
      </w:r>
      <w:r w:rsidR="00485106" w:rsidRPr="00AD03B7">
        <w:rPr>
          <w:color w:val="262626" w:themeColor="text1" w:themeTint="D9"/>
          <w:sz w:val="23"/>
          <w:szCs w:val="23"/>
        </w:rPr>
        <w:t>Главной задачей Экспертного жюри является экспертиза анкет участников Проекта в части исследования, которая осуществляется на основе специа</w:t>
      </w:r>
      <w:r w:rsidRPr="00AD03B7">
        <w:rPr>
          <w:color w:val="262626" w:themeColor="text1" w:themeTint="D9"/>
          <w:sz w:val="23"/>
          <w:szCs w:val="23"/>
        </w:rPr>
        <w:t>льно разработанной методологии.</w:t>
      </w:r>
      <w:r w:rsidR="005859C5" w:rsidRPr="00AD03B7">
        <w:rPr>
          <w:color w:val="262626" w:themeColor="text1" w:themeTint="D9"/>
          <w:sz w:val="23"/>
          <w:szCs w:val="23"/>
        </w:rPr>
        <w:t xml:space="preserve"> </w:t>
      </w:r>
    </w:p>
    <w:p w:rsidR="005859C5" w:rsidRPr="00F46D9E" w:rsidRDefault="005859C5" w:rsidP="00F46D9E">
      <w:pPr>
        <w:pStyle w:val="Iauiue"/>
        <w:spacing w:after="120"/>
        <w:ind w:left="644"/>
        <w:jc w:val="both"/>
        <w:rPr>
          <w:color w:val="262626" w:themeColor="text1" w:themeTint="D9"/>
          <w:sz w:val="23"/>
          <w:szCs w:val="23"/>
        </w:rPr>
      </w:pPr>
    </w:p>
    <w:p w:rsidR="0086073B" w:rsidRPr="00AD03B7" w:rsidRDefault="0086073B" w:rsidP="00F46D9E">
      <w:pPr>
        <w:pStyle w:val="Iauiue"/>
        <w:numPr>
          <w:ilvl w:val="0"/>
          <w:numId w:val="15"/>
        </w:numPr>
        <w:spacing w:after="120"/>
        <w:jc w:val="both"/>
        <w:rPr>
          <w:color w:val="262626" w:themeColor="text1" w:themeTint="D9"/>
          <w:sz w:val="23"/>
          <w:szCs w:val="23"/>
        </w:rPr>
      </w:pPr>
      <w:r w:rsidRPr="00F46D9E">
        <w:rPr>
          <w:color w:val="262626" w:themeColor="text1" w:themeTint="D9"/>
          <w:sz w:val="23"/>
          <w:szCs w:val="23"/>
        </w:rPr>
        <w:t xml:space="preserve">Права и обязанности </w:t>
      </w:r>
      <w:r w:rsidR="00A15E75">
        <w:rPr>
          <w:color w:val="262626" w:themeColor="text1" w:themeTint="D9"/>
          <w:sz w:val="23"/>
          <w:szCs w:val="23"/>
        </w:rPr>
        <w:t>Э</w:t>
      </w:r>
      <w:r w:rsidR="00A15E75" w:rsidRPr="00F46D9E">
        <w:rPr>
          <w:color w:val="262626" w:themeColor="text1" w:themeTint="D9"/>
          <w:sz w:val="23"/>
          <w:szCs w:val="23"/>
        </w:rPr>
        <w:t xml:space="preserve">кспертного </w:t>
      </w:r>
      <w:r w:rsidRPr="00F46D9E">
        <w:rPr>
          <w:color w:val="262626" w:themeColor="text1" w:themeTint="D9"/>
          <w:sz w:val="23"/>
          <w:szCs w:val="23"/>
        </w:rPr>
        <w:t>жюри</w:t>
      </w:r>
      <w:r w:rsidR="00363DA4" w:rsidRPr="00AD03B7">
        <w:rPr>
          <w:color w:val="262626" w:themeColor="text1" w:themeTint="D9"/>
          <w:sz w:val="23"/>
          <w:szCs w:val="23"/>
        </w:rPr>
        <w:t>:</w:t>
      </w:r>
      <w:r w:rsidRPr="00AD03B7">
        <w:rPr>
          <w:color w:val="262626" w:themeColor="text1" w:themeTint="D9"/>
          <w:sz w:val="23"/>
          <w:szCs w:val="23"/>
        </w:rPr>
        <w:t xml:space="preserve"> </w:t>
      </w:r>
    </w:p>
    <w:p w:rsidR="0086073B" w:rsidRPr="00F46D9E" w:rsidRDefault="0086073B" w:rsidP="00F46D9E">
      <w:pPr>
        <w:pStyle w:val="Iauiue"/>
        <w:numPr>
          <w:ilvl w:val="1"/>
          <w:numId w:val="15"/>
        </w:numPr>
        <w:spacing w:after="120"/>
        <w:jc w:val="both"/>
        <w:rPr>
          <w:color w:val="262626" w:themeColor="text1" w:themeTint="D9"/>
          <w:sz w:val="23"/>
          <w:szCs w:val="23"/>
        </w:rPr>
      </w:pPr>
      <w:r w:rsidRPr="00F46D9E">
        <w:rPr>
          <w:color w:val="262626" w:themeColor="text1" w:themeTint="D9"/>
          <w:sz w:val="23"/>
          <w:szCs w:val="23"/>
        </w:rPr>
        <w:t xml:space="preserve">Члены </w:t>
      </w:r>
      <w:r w:rsidR="00A15E75">
        <w:rPr>
          <w:color w:val="262626" w:themeColor="text1" w:themeTint="D9"/>
          <w:sz w:val="23"/>
          <w:szCs w:val="23"/>
        </w:rPr>
        <w:t>Ж</w:t>
      </w:r>
      <w:r w:rsidR="00A15E75" w:rsidRPr="00F46D9E">
        <w:rPr>
          <w:color w:val="262626" w:themeColor="text1" w:themeTint="D9"/>
          <w:sz w:val="23"/>
          <w:szCs w:val="23"/>
        </w:rPr>
        <w:t xml:space="preserve">юри  </w:t>
      </w:r>
      <w:r w:rsidRPr="00F46D9E">
        <w:rPr>
          <w:color w:val="262626" w:themeColor="text1" w:themeTint="D9"/>
          <w:sz w:val="23"/>
          <w:szCs w:val="23"/>
        </w:rPr>
        <w:t>имеют право:</w:t>
      </w:r>
    </w:p>
    <w:p w:rsidR="0086073B" w:rsidRPr="00F46D9E" w:rsidRDefault="00A15E75" w:rsidP="00F46D9E">
      <w:pPr>
        <w:pStyle w:val="Iauiue"/>
        <w:numPr>
          <w:ilvl w:val="0"/>
          <w:numId w:val="20"/>
        </w:numPr>
        <w:ind w:left="1361" w:hanging="357"/>
        <w:jc w:val="both"/>
        <w:rPr>
          <w:color w:val="262626" w:themeColor="text1" w:themeTint="D9"/>
          <w:sz w:val="23"/>
          <w:szCs w:val="23"/>
        </w:rPr>
      </w:pPr>
      <w:r>
        <w:rPr>
          <w:color w:val="262626" w:themeColor="text1" w:themeTint="D9"/>
          <w:sz w:val="23"/>
          <w:szCs w:val="23"/>
        </w:rPr>
        <w:t>у</w:t>
      </w:r>
      <w:r w:rsidRPr="00F46D9E">
        <w:rPr>
          <w:color w:val="262626" w:themeColor="text1" w:themeTint="D9"/>
          <w:sz w:val="23"/>
          <w:szCs w:val="23"/>
        </w:rPr>
        <w:t xml:space="preserve">частвовать </w:t>
      </w:r>
      <w:r w:rsidR="0086073B" w:rsidRPr="00F46D9E">
        <w:rPr>
          <w:color w:val="262626" w:themeColor="text1" w:themeTint="D9"/>
          <w:sz w:val="23"/>
          <w:szCs w:val="23"/>
        </w:rPr>
        <w:t>в мероприятиях, проводимых в рамках проекта;</w:t>
      </w:r>
    </w:p>
    <w:p w:rsidR="0086073B" w:rsidRPr="00F46D9E" w:rsidRDefault="00A15E75" w:rsidP="00F46D9E">
      <w:pPr>
        <w:pStyle w:val="Iauiue"/>
        <w:numPr>
          <w:ilvl w:val="0"/>
          <w:numId w:val="20"/>
        </w:numPr>
        <w:ind w:left="1361" w:hanging="357"/>
        <w:jc w:val="both"/>
        <w:rPr>
          <w:color w:val="262626" w:themeColor="text1" w:themeTint="D9"/>
          <w:sz w:val="23"/>
          <w:szCs w:val="23"/>
        </w:rPr>
      </w:pPr>
      <w:r>
        <w:rPr>
          <w:color w:val="262626" w:themeColor="text1" w:themeTint="D9"/>
          <w:sz w:val="23"/>
          <w:szCs w:val="23"/>
        </w:rPr>
        <w:t>в</w:t>
      </w:r>
      <w:r w:rsidRPr="00F46D9E">
        <w:rPr>
          <w:color w:val="262626" w:themeColor="text1" w:themeTint="D9"/>
          <w:sz w:val="23"/>
          <w:szCs w:val="23"/>
        </w:rPr>
        <w:t xml:space="preserve">носить </w:t>
      </w:r>
      <w:r w:rsidR="0086073B" w:rsidRPr="00F46D9E">
        <w:rPr>
          <w:color w:val="262626" w:themeColor="text1" w:themeTint="D9"/>
          <w:sz w:val="23"/>
          <w:szCs w:val="23"/>
        </w:rPr>
        <w:t>предложения и рекомендации на заседании Жюри.</w:t>
      </w:r>
    </w:p>
    <w:p w:rsidR="0086073B" w:rsidRPr="00F46D9E" w:rsidRDefault="0086073B" w:rsidP="00F46D9E">
      <w:pPr>
        <w:pStyle w:val="Iauiue"/>
        <w:spacing w:after="120"/>
        <w:ind w:left="360"/>
        <w:jc w:val="both"/>
        <w:rPr>
          <w:color w:val="262626" w:themeColor="text1" w:themeTint="D9"/>
          <w:sz w:val="23"/>
          <w:szCs w:val="23"/>
        </w:rPr>
      </w:pPr>
      <w:r w:rsidRPr="00F46D9E">
        <w:rPr>
          <w:color w:val="262626" w:themeColor="text1" w:themeTint="D9"/>
          <w:sz w:val="23"/>
          <w:szCs w:val="23"/>
        </w:rPr>
        <w:t xml:space="preserve">3.2. Члены </w:t>
      </w:r>
      <w:r w:rsidR="00A15E75">
        <w:rPr>
          <w:color w:val="262626" w:themeColor="text1" w:themeTint="D9"/>
          <w:sz w:val="23"/>
          <w:szCs w:val="23"/>
        </w:rPr>
        <w:t>Ж</w:t>
      </w:r>
      <w:r w:rsidR="00A15E75" w:rsidRPr="00F46D9E">
        <w:rPr>
          <w:color w:val="262626" w:themeColor="text1" w:themeTint="D9"/>
          <w:sz w:val="23"/>
          <w:szCs w:val="23"/>
        </w:rPr>
        <w:t xml:space="preserve">юри </w:t>
      </w:r>
      <w:r w:rsidRPr="00F46D9E">
        <w:rPr>
          <w:color w:val="262626" w:themeColor="text1" w:themeTint="D9"/>
          <w:sz w:val="23"/>
          <w:szCs w:val="23"/>
        </w:rPr>
        <w:t xml:space="preserve">обязаны: </w:t>
      </w:r>
    </w:p>
    <w:p w:rsidR="0086073B" w:rsidRPr="00F46D9E" w:rsidRDefault="00A15E75" w:rsidP="00F46D9E">
      <w:pPr>
        <w:pStyle w:val="a7"/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в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</w:t>
      </w:r>
      <w:r w:rsidR="0086073B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установленные сроки уведомить Оргкомитет о возможном возникновении конфликта интересов при оценке анкет </w:t>
      </w:r>
      <w:r w:rsidR="00B16CD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к</w:t>
      </w:r>
      <w:r w:rsidR="0086073B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омпаний;</w:t>
      </w:r>
    </w:p>
    <w:p w:rsidR="0086073B" w:rsidRPr="00F46D9E" w:rsidRDefault="00A15E75" w:rsidP="00F46D9E">
      <w:pPr>
        <w:pStyle w:val="a7"/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с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облюдать </w:t>
      </w:r>
      <w:r w:rsidR="0086073B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условия </w:t>
      </w:r>
      <w:r w:rsidR="00B16CD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р</w:t>
      </w:r>
      <w:r w:rsidR="0086073B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егламента работы Жюри;                                                              </w:t>
      </w:r>
    </w:p>
    <w:p w:rsidR="0086073B" w:rsidRPr="00F46D9E" w:rsidRDefault="00A15E75" w:rsidP="00F46D9E">
      <w:pPr>
        <w:pStyle w:val="a7"/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о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бъективно </w:t>
      </w:r>
      <w:r w:rsidR="0086073B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и беспристрастно оценивать представленные анкеты;</w:t>
      </w:r>
    </w:p>
    <w:p w:rsidR="0086073B" w:rsidRPr="00F46D9E" w:rsidRDefault="00A15E75" w:rsidP="00F46D9E">
      <w:pPr>
        <w:pStyle w:val="a7"/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lastRenderedPageBreak/>
        <w:t>н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е </w:t>
      </w:r>
      <w:r w:rsidR="0086073B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разглашать информацию о промежуточных и окончательных результатах до церемонии награждения победителей;</w:t>
      </w:r>
    </w:p>
    <w:p w:rsidR="0086073B" w:rsidRPr="00F46D9E" w:rsidRDefault="00BC1356" w:rsidP="00F46D9E">
      <w:pPr>
        <w:pStyle w:val="a7"/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AD03B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без согласования с организатором Проекта</w:t>
      </w:r>
      <w:r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</w:t>
      </w:r>
      <w:r w:rsidR="00A15E75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н</w:t>
      </w:r>
      <w:r w:rsidR="00A15E75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е </w:t>
      </w:r>
      <w:r w:rsidR="0086073B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использовать материалы и сведения, полученные в результате участия в работе Жюри.</w:t>
      </w:r>
    </w:p>
    <w:p w:rsidR="0086073B" w:rsidRPr="00F46D9E" w:rsidRDefault="0086073B" w:rsidP="00F46D9E">
      <w:pPr>
        <w:pStyle w:val="Iauiue"/>
        <w:spacing w:after="120"/>
        <w:ind w:left="644"/>
        <w:jc w:val="both"/>
        <w:rPr>
          <w:color w:val="262626" w:themeColor="text1" w:themeTint="D9"/>
          <w:sz w:val="23"/>
          <w:szCs w:val="23"/>
        </w:rPr>
      </w:pPr>
    </w:p>
    <w:p w:rsidR="001B0888" w:rsidRPr="00AD03B7" w:rsidRDefault="001B0888" w:rsidP="00F46D9E">
      <w:pPr>
        <w:pStyle w:val="Iauiue"/>
        <w:numPr>
          <w:ilvl w:val="0"/>
          <w:numId w:val="15"/>
        </w:numPr>
        <w:spacing w:after="120"/>
        <w:jc w:val="both"/>
        <w:rPr>
          <w:color w:val="262626" w:themeColor="text1" w:themeTint="D9"/>
          <w:sz w:val="23"/>
          <w:szCs w:val="23"/>
        </w:rPr>
      </w:pPr>
      <w:r w:rsidRPr="00AD03B7">
        <w:rPr>
          <w:color w:val="262626" w:themeColor="text1" w:themeTint="D9"/>
          <w:sz w:val="23"/>
          <w:szCs w:val="23"/>
        </w:rPr>
        <w:t>Процедура рассмотрения заявок</w:t>
      </w:r>
      <w:r w:rsidR="00363DA4" w:rsidRPr="00AD03B7">
        <w:rPr>
          <w:color w:val="262626" w:themeColor="text1" w:themeTint="D9"/>
          <w:sz w:val="23"/>
          <w:szCs w:val="23"/>
        </w:rPr>
        <w:t>:</w:t>
      </w:r>
    </w:p>
    <w:p w:rsidR="00E24DA7" w:rsidRPr="00F46D9E" w:rsidRDefault="001B0888" w:rsidP="00F46D9E">
      <w:pPr>
        <w:pStyle w:val="a7"/>
        <w:numPr>
          <w:ilvl w:val="1"/>
          <w:numId w:val="15"/>
        </w:numPr>
        <w:spacing w:after="120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Рассмотрение конкурсных документов производится Экспертным жюри в период с </w:t>
      </w:r>
      <w:r w:rsidR="009A66F8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29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августа по </w:t>
      </w:r>
      <w:r w:rsidR="009A66F8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17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октября</w:t>
      </w:r>
      <w:r w:rsidR="00D03324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201</w:t>
      </w:r>
      <w:r w:rsidR="009A66F8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6</w:t>
      </w:r>
      <w:r w:rsidR="00A15E75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</w:t>
      </w:r>
      <w:r w:rsidR="00D03324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г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. </w:t>
      </w:r>
    </w:p>
    <w:p w:rsidR="00E24DA7" w:rsidRPr="00F46D9E" w:rsidRDefault="00E24DA7" w:rsidP="00F46D9E">
      <w:pPr>
        <w:pStyle w:val="a7"/>
        <w:numPr>
          <w:ilvl w:val="1"/>
          <w:numId w:val="15"/>
        </w:numPr>
        <w:spacing w:after="120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Каждый член Жюри лично оценивает Проекты в баллах по соответствующим критериям оценки, указанным в </w:t>
      </w:r>
      <w:r w:rsidR="00B16CD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р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уководстве для Экспертного жюри. </w:t>
      </w:r>
    </w:p>
    <w:p w:rsidR="001B0888" w:rsidRPr="00F46D9E" w:rsidRDefault="005A273C" w:rsidP="00F46D9E">
      <w:pPr>
        <w:pStyle w:val="a7"/>
        <w:numPr>
          <w:ilvl w:val="1"/>
          <w:numId w:val="15"/>
        </w:numPr>
        <w:spacing w:after="120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</w:t>
      </w:r>
      <w:r w:rsidR="00E24DA7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Экспертное жюри проводит оценку благотворительной деятельности компаний только на основании поступивших документов.</w:t>
      </w:r>
    </w:p>
    <w:p w:rsidR="00E24DA7" w:rsidRPr="00F46D9E" w:rsidRDefault="001B0888" w:rsidP="00F46D9E">
      <w:pPr>
        <w:pStyle w:val="a7"/>
        <w:numPr>
          <w:ilvl w:val="1"/>
          <w:numId w:val="15"/>
        </w:numPr>
        <w:spacing w:after="120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Экспертиза осуществляется в два этапа</w:t>
      </w:r>
      <w:r w:rsidR="00E24DA7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:</w:t>
      </w:r>
    </w:p>
    <w:p w:rsidR="00E24DA7" w:rsidRPr="00F46D9E" w:rsidRDefault="00E24DA7" w:rsidP="00F46D9E">
      <w:pPr>
        <w:pStyle w:val="a7"/>
        <w:numPr>
          <w:ilvl w:val="2"/>
          <w:numId w:val="23"/>
        </w:numPr>
        <w:spacing w:after="120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На первом этапе формируются </w:t>
      </w:r>
      <w:r w:rsidR="00CB3092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группы </w:t>
      </w:r>
      <w:r w:rsidR="00363DA4" w:rsidRPr="00AD03B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ж</w:t>
      </w:r>
      <w:r w:rsidR="00CB3092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юри, каждая из которых оце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нивает равное количество анкет.</w:t>
      </w:r>
      <w:r w:rsidR="00CB3092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П</w:t>
      </w:r>
      <w:r w:rsidR="00CB3092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ри этом к</w:t>
      </w:r>
      <w:r w:rsidR="001B0888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аждая анкета участника исследования оценивается как минимум 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четырьмя</w:t>
      </w:r>
      <w:r w:rsidR="001B0888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членами Экспертного жюри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. </w:t>
      </w:r>
      <w:r w:rsidR="00CB3092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Организационный комитет 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сводит полученные данные, нормирует и формирует предварительный </w:t>
      </w:r>
      <w:proofErr w:type="spellStart"/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ренкинг</w:t>
      </w:r>
      <w:proofErr w:type="spellEnd"/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компаний. </w:t>
      </w:r>
      <w:r w:rsidR="005A273C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Полученные данные обсуждаются на заседании </w:t>
      </w:r>
      <w:r w:rsidR="00363DA4" w:rsidRPr="00AD03B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ж</w:t>
      </w:r>
      <w:r w:rsidR="005A273C" w:rsidRPr="00AD03B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ю</w:t>
      </w:r>
      <w:r w:rsidR="005A273C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ри. </w:t>
      </w:r>
    </w:p>
    <w:p w:rsidR="005A273C" w:rsidRPr="00F46D9E" w:rsidRDefault="00E24DA7" w:rsidP="00F46D9E">
      <w:pPr>
        <w:pStyle w:val="a7"/>
        <w:numPr>
          <w:ilvl w:val="2"/>
          <w:numId w:val="23"/>
        </w:numPr>
        <w:spacing w:after="120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На втором этапе Жюри оценивает анкеты компаний, вошедших в </w:t>
      </w:r>
      <w:r w:rsidR="00B16CD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т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ор</w:t>
      </w:r>
      <w:r w:rsidR="005C1AC9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-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10 </w:t>
      </w:r>
      <w:proofErr w:type="spellStart"/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ренкинга</w:t>
      </w:r>
      <w:proofErr w:type="spellEnd"/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. При этом исключается повторная оценка экспертами анкет из первого этапа. </w:t>
      </w:r>
      <w:r w:rsidR="005A273C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Каждую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анкету оценивает равное количество экспертов, но не менее восьми.</w:t>
      </w:r>
      <w:r w:rsidR="005A273C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Организационный комитет сводит полученные данные, нормирует и формирует полный </w:t>
      </w:r>
      <w:proofErr w:type="spellStart"/>
      <w:r w:rsidR="005A273C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ренкинг</w:t>
      </w:r>
      <w:proofErr w:type="spellEnd"/>
      <w:r w:rsidR="005A273C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компаний. </w:t>
      </w:r>
    </w:p>
    <w:p w:rsidR="005A273C" w:rsidRPr="00F46D9E" w:rsidRDefault="005A273C" w:rsidP="00F46D9E">
      <w:pPr>
        <w:pStyle w:val="a7"/>
        <w:spacing w:after="120"/>
        <w:ind w:left="1224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Полученные данные обсуждаются на заседании </w:t>
      </w:r>
      <w:r w:rsidR="00363DA4" w:rsidRPr="00AD03B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ж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юри. </w:t>
      </w:r>
    </w:p>
    <w:p w:rsidR="005A273C" w:rsidRPr="00F46D9E" w:rsidRDefault="005A273C" w:rsidP="00F46D9E">
      <w:pPr>
        <w:pStyle w:val="a7"/>
        <w:numPr>
          <w:ilvl w:val="1"/>
          <w:numId w:val="15"/>
        </w:numPr>
        <w:spacing w:after="120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</w:t>
      </w:r>
      <w:r w:rsidR="00F46D9E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При наличии двух и более компаний из списка </w:t>
      </w:r>
      <w:r w:rsidR="00B16CD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т</w:t>
      </w:r>
      <w:r w:rsidR="00F46D9E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ор</w:t>
      </w:r>
      <w:r w:rsidR="005C1AC9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-</w:t>
      </w:r>
      <w:r w:rsidR="00F46D9E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10, набравших во втором этапе равную сумму баллов или в ситуации, когда разница в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баллах составляет меньше 0,1</w:t>
      </w:r>
      <w:r w:rsidR="00EF480F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балла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, </w:t>
      </w:r>
      <w:r w:rsidR="00EF480F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вопрос о возможности присвоения двум компаниям одного места в </w:t>
      </w:r>
      <w:proofErr w:type="spellStart"/>
      <w:r w:rsidR="00EF480F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ренкинге</w:t>
      </w:r>
      <w:proofErr w:type="spellEnd"/>
      <w:r w:rsidR="00EF480F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</w:t>
      </w:r>
      <w:r w:rsidR="005C1AC9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</w:t>
      </w:r>
      <w:r w:rsidR="00F46D9E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решается на </w:t>
      </w: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итоговом заседании Жюри. </w:t>
      </w:r>
      <w:r w:rsidR="00F46D9E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Кворум Жюри </w:t>
      </w:r>
      <w:r w:rsidR="00363DA4" w:rsidRPr="00AD03B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составляет</w:t>
      </w:r>
      <w:r w:rsidR="00F46D9E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пятьдесят процентов от списочного </w:t>
      </w:r>
      <w:r w:rsidR="00363DA4" w:rsidRPr="00AD03B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состава</w:t>
      </w:r>
      <w:r w:rsidR="00F46D9E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членов </w:t>
      </w:r>
      <w:r w:rsidR="005C1AC9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Ж</w:t>
      </w:r>
      <w:r w:rsidR="005C1AC9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юри </w:t>
      </w:r>
      <w:r w:rsidR="00B16CD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к</w:t>
      </w:r>
      <w:r w:rsidR="00F46D9E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онкурса плюс один голос. Решение принимается при помощи проведения </w:t>
      </w:r>
      <w:r w:rsidR="00B16CD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г</w:t>
      </w:r>
      <w:r w:rsidR="00F46D9E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олосования. Подсчет голосов осуществляется </w:t>
      </w:r>
      <w:r w:rsidR="005C1AC9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О</w:t>
      </w:r>
      <w:r w:rsidR="005C1AC9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рганизационным </w:t>
      </w:r>
      <w:r w:rsidR="00F46D9E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комитетом </w:t>
      </w:r>
      <w:r w:rsidR="005C1AC9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П</w:t>
      </w:r>
      <w:r w:rsidR="005C1AC9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роекта</w:t>
      </w:r>
      <w:r w:rsidR="00F46D9E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.</w:t>
      </w:r>
    </w:p>
    <w:p w:rsidR="00F46D9E" w:rsidRPr="00F46D9E" w:rsidRDefault="00F46D9E" w:rsidP="00F46D9E">
      <w:pPr>
        <w:pStyle w:val="a7"/>
        <w:spacing w:after="120"/>
        <w:ind w:left="644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</w:p>
    <w:p w:rsidR="005A273C" w:rsidRPr="00F46D9E" w:rsidRDefault="005A273C" w:rsidP="00F46D9E">
      <w:pPr>
        <w:pStyle w:val="a7"/>
        <w:numPr>
          <w:ilvl w:val="1"/>
          <w:numId w:val="15"/>
        </w:numPr>
        <w:spacing w:after="120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Решение Экспертного жюри оф</w:t>
      </w:r>
      <w:bookmarkStart w:id="0" w:name="_GoBack"/>
      <w:bookmarkEnd w:id="0"/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ормляется протоколом. В протоколе содержатся сведения о предмете исследования, составе Экспертного жюри, данных о победителях </w:t>
      </w:r>
      <w:r w:rsidR="00F46D9E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проекта. </w:t>
      </w:r>
    </w:p>
    <w:p w:rsidR="001B0888" w:rsidRPr="00F46D9E" w:rsidRDefault="005A273C" w:rsidP="00F46D9E">
      <w:pPr>
        <w:pStyle w:val="a7"/>
        <w:numPr>
          <w:ilvl w:val="1"/>
          <w:numId w:val="15"/>
        </w:numPr>
        <w:spacing w:after="120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</w:t>
      </w:r>
      <w:r w:rsidR="001B0888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По результатам работы Экспертного жюри формируется </w:t>
      </w:r>
      <w:proofErr w:type="spellStart"/>
      <w:r w:rsidR="001B0888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ренкинг</w:t>
      </w:r>
      <w:proofErr w:type="spellEnd"/>
      <w:r w:rsidR="001B0888"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компаний, занимающихся благотворительной деятельностью на территории РФ.</w:t>
      </w:r>
    </w:p>
    <w:p w:rsidR="00F46D9E" w:rsidRPr="00D03324" w:rsidRDefault="00D03324" w:rsidP="00D03324">
      <w:pPr>
        <w:spacing w:after="120" w:line="307" w:lineRule="atLeast"/>
        <w:ind w:left="360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4.8.</w:t>
      </w:r>
      <w:r w:rsidR="00F46D9E" w:rsidRPr="00D03324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Результаты </w:t>
      </w:r>
      <w:proofErr w:type="spellStart"/>
      <w:r w:rsidR="00F46D9E" w:rsidRPr="00D03324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ренкинга</w:t>
      </w:r>
      <w:proofErr w:type="spellEnd"/>
      <w:r w:rsidR="00F46D9E" w:rsidRPr="00D03324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публикуются в газете «Ведомости», а также на сайтах газеты «Ведомости» и </w:t>
      </w:r>
      <w:r w:rsidR="00B16CD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«</w:t>
      </w:r>
      <w:r w:rsidR="00F46D9E" w:rsidRPr="00D03324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Форума </w:t>
      </w:r>
      <w:r w:rsidR="00B16CD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д</w:t>
      </w:r>
      <w:r w:rsidR="00F46D9E" w:rsidRPr="00D03324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оноров</w:t>
      </w:r>
      <w:r w:rsidR="00B16CD7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»</w:t>
      </w:r>
      <w:r w:rsidR="00F46D9E" w:rsidRPr="00D03324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.</w:t>
      </w:r>
    </w:p>
    <w:p w:rsidR="0086073B" w:rsidRPr="00F46D9E" w:rsidRDefault="00F46D9E" w:rsidP="00F46D9E">
      <w:pPr>
        <w:spacing w:after="120"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F46D9E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</w:t>
      </w:r>
    </w:p>
    <w:sectPr w:rsidR="0086073B" w:rsidRPr="00F46D9E" w:rsidSect="0061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1CAA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48F"/>
    <w:multiLevelType w:val="multilevel"/>
    <w:tmpl w:val="33E42A78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 w:hint="default"/>
        <w:sz w:val="22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Theme="minorHAnsi" w:eastAsiaTheme="minorHAnsi" w:hAnsiTheme="minorHAnsi" w:cs="Tahoma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="Tahoma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="Tahoma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="Tahoma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="Tahoma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="Tahom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="Tahom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="Tahoma" w:hint="default"/>
        <w:sz w:val="22"/>
      </w:rPr>
    </w:lvl>
  </w:abstractNum>
  <w:abstractNum w:abstractNumId="1">
    <w:nsid w:val="0C541F46"/>
    <w:multiLevelType w:val="multilevel"/>
    <w:tmpl w:val="76844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C596BDE"/>
    <w:multiLevelType w:val="multilevel"/>
    <w:tmpl w:val="C388EA9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7626C0"/>
    <w:multiLevelType w:val="multilevel"/>
    <w:tmpl w:val="BE3ED0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B73C94"/>
    <w:multiLevelType w:val="hybridMultilevel"/>
    <w:tmpl w:val="C49C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07D3A"/>
    <w:multiLevelType w:val="multilevel"/>
    <w:tmpl w:val="3CDE9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0A4B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B2273F"/>
    <w:multiLevelType w:val="hybridMultilevel"/>
    <w:tmpl w:val="BCD4B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A309E"/>
    <w:multiLevelType w:val="multilevel"/>
    <w:tmpl w:val="D6BEEE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4B1D29"/>
    <w:multiLevelType w:val="hybridMultilevel"/>
    <w:tmpl w:val="4A227498"/>
    <w:lvl w:ilvl="0" w:tplc="53FC48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75C70FC"/>
    <w:multiLevelType w:val="multilevel"/>
    <w:tmpl w:val="826E3E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48326218"/>
    <w:multiLevelType w:val="multilevel"/>
    <w:tmpl w:val="1A7AFE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B29162B"/>
    <w:multiLevelType w:val="multilevel"/>
    <w:tmpl w:val="6EF4041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5B42F88"/>
    <w:multiLevelType w:val="hybridMultilevel"/>
    <w:tmpl w:val="DB5A9D62"/>
    <w:lvl w:ilvl="0" w:tplc="211EF544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hint="default"/>
        <w:b w:val="0"/>
        <w:color w:val="666666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26074"/>
    <w:multiLevelType w:val="multilevel"/>
    <w:tmpl w:val="0F48848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F9933CE"/>
    <w:multiLevelType w:val="multilevel"/>
    <w:tmpl w:val="45A0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EE057F"/>
    <w:multiLevelType w:val="multilevel"/>
    <w:tmpl w:val="3CDE9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0840646"/>
    <w:multiLevelType w:val="multilevel"/>
    <w:tmpl w:val="3CDE9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170527E"/>
    <w:multiLevelType w:val="hybridMultilevel"/>
    <w:tmpl w:val="E014F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55B15"/>
    <w:multiLevelType w:val="multilevel"/>
    <w:tmpl w:val="0BC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E076DF"/>
    <w:multiLevelType w:val="hybridMultilevel"/>
    <w:tmpl w:val="370E89B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794E7CC3"/>
    <w:multiLevelType w:val="multilevel"/>
    <w:tmpl w:val="6B527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CFD50C9"/>
    <w:multiLevelType w:val="hybridMultilevel"/>
    <w:tmpl w:val="E8EA1B5C"/>
    <w:lvl w:ilvl="0" w:tplc="E0C8D452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color w:val="666666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7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11"/>
  </w:num>
  <w:num w:numId="10">
    <w:abstractNumId w:val="12"/>
  </w:num>
  <w:num w:numId="11">
    <w:abstractNumId w:val="21"/>
  </w:num>
  <w:num w:numId="12">
    <w:abstractNumId w:val="13"/>
  </w:num>
  <w:num w:numId="13">
    <w:abstractNumId w:val="22"/>
  </w:num>
  <w:num w:numId="14">
    <w:abstractNumId w:val="4"/>
  </w:num>
  <w:num w:numId="15">
    <w:abstractNumId w:val="10"/>
  </w:num>
  <w:num w:numId="16">
    <w:abstractNumId w:val="0"/>
  </w:num>
  <w:num w:numId="17">
    <w:abstractNumId w:val="8"/>
  </w:num>
  <w:num w:numId="18">
    <w:abstractNumId w:val="14"/>
  </w:num>
  <w:num w:numId="19">
    <w:abstractNumId w:val="7"/>
  </w:num>
  <w:num w:numId="20">
    <w:abstractNumId w:val="20"/>
  </w:num>
  <w:num w:numId="21">
    <w:abstractNumId w:val="18"/>
  </w:num>
  <w:num w:numId="22">
    <w:abstractNumId w:val="2"/>
  </w:num>
  <w:num w:numId="2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katerina Dmitrienko">
    <w15:presenceInfo w15:providerId="AD" w15:userId="S-1-5-21-111144332-1579889163-3787059272-645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D5"/>
    <w:rsid w:val="001B0888"/>
    <w:rsid w:val="001C4B57"/>
    <w:rsid w:val="001E15E7"/>
    <w:rsid w:val="001F0018"/>
    <w:rsid w:val="00245B08"/>
    <w:rsid w:val="00272482"/>
    <w:rsid w:val="00276BB2"/>
    <w:rsid w:val="00334F44"/>
    <w:rsid w:val="00363DA4"/>
    <w:rsid w:val="00485106"/>
    <w:rsid w:val="004C55D5"/>
    <w:rsid w:val="004D5BB3"/>
    <w:rsid w:val="00502B65"/>
    <w:rsid w:val="005859C5"/>
    <w:rsid w:val="005A273C"/>
    <w:rsid w:val="005C1AC9"/>
    <w:rsid w:val="00614359"/>
    <w:rsid w:val="00737EA5"/>
    <w:rsid w:val="007772CB"/>
    <w:rsid w:val="0086073B"/>
    <w:rsid w:val="009A66F8"/>
    <w:rsid w:val="009B7CE7"/>
    <w:rsid w:val="00A00A2C"/>
    <w:rsid w:val="00A15E75"/>
    <w:rsid w:val="00AD03B7"/>
    <w:rsid w:val="00B02B54"/>
    <w:rsid w:val="00B16CD7"/>
    <w:rsid w:val="00BC1356"/>
    <w:rsid w:val="00BE193B"/>
    <w:rsid w:val="00C16DEC"/>
    <w:rsid w:val="00CB3092"/>
    <w:rsid w:val="00D03324"/>
    <w:rsid w:val="00D16FAA"/>
    <w:rsid w:val="00D9261D"/>
    <w:rsid w:val="00E24DA7"/>
    <w:rsid w:val="00E437E9"/>
    <w:rsid w:val="00E677F2"/>
    <w:rsid w:val="00EE4256"/>
    <w:rsid w:val="00EF480F"/>
    <w:rsid w:val="00F46D9E"/>
    <w:rsid w:val="00FC4D67"/>
    <w:rsid w:val="00FD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4C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55D5"/>
    <w:rPr>
      <w:b/>
      <w:bCs/>
    </w:rPr>
  </w:style>
  <w:style w:type="paragraph" w:customStyle="1" w:styleId="consnonformat">
    <w:name w:val="consnonformat"/>
    <w:basedOn w:val="a"/>
    <w:rsid w:val="004C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5D5"/>
  </w:style>
  <w:style w:type="paragraph" w:styleId="HTML">
    <w:name w:val="HTML Preformatted"/>
    <w:basedOn w:val="a"/>
    <w:link w:val="HTML0"/>
    <w:uiPriority w:val="99"/>
    <w:unhideWhenUsed/>
    <w:rsid w:val="00502B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02B65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50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B65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02B65"/>
    <w:pPr>
      <w:spacing w:after="0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Iauiue">
    <w:name w:val="Iau?iue"/>
    <w:rsid w:val="00502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02B65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A15E7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15E7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15E7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5E7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15E75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1F00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4C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55D5"/>
    <w:rPr>
      <w:b/>
      <w:bCs/>
    </w:rPr>
  </w:style>
  <w:style w:type="paragraph" w:customStyle="1" w:styleId="consnonformat">
    <w:name w:val="consnonformat"/>
    <w:basedOn w:val="a"/>
    <w:rsid w:val="004C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5D5"/>
  </w:style>
  <w:style w:type="paragraph" w:styleId="HTML">
    <w:name w:val="HTML Preformatted"/>
    <w:basedOn w:val="a"/>
    <w:link w:val="HTML0"/>
    <w:uiPriority w:val="99"/>
    <w:unhideWhenUsed/>
    <w:rsid w:val="00502B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02B65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50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B65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02B65"/>
    <w:pPr>
      <w:spacing w:after="0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Iauiue">
    <w:name w:val="Iau?iue"/>
    <w:rsid w:val="00502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02B65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A15E7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15E7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15E7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5E7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15E75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1F0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E13DC-D34B-4DD1-8D4C-2E3C2EBF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Sanoma Independent Media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Boldyreva</dc:creator>
  <cp:lastModifiedBy>degr</cp:lastModifiedBy>
  <cp:revision>2</cp:revision>
  <dcterms:created xsi:type="dcterms:W3CDTF">2016-02-16T10:47:00Z</dcterms:created>
  <dcterms:modified xsi:type="dcterms:W3CDTF">2016-02-16T10:47:00Z</dcterms:modified>
</cp:coreProperties>
</file>